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9349" w:type="dxa"/>
        <w:jc w:val="left"/>
        <w:tblInd w:w="-1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49"/>
      </w:tblGrid>
      <w:tr>
        <w:trPr>
          <w:trHeight w:val="377" w:hRule="atLeast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INFORMAÇÕES GERAIS</w:t>
            </w:r>
          </w:p>
        </w:tc>
      </w:tr>
      <w:tr>
        <w:trPr>
          <w:trHeight w:val="283" w:hRule="atLeast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</w:tcPr>
          <w:p>
            <w:pPr>
              <w:pStyle w:val="Normal"/>
              <w:spacing w:before="119" w:after="119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 xml:space="preserve">Data: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13/05/2022</w:t>
            </w:r>
          </w:p>
        </w:tc>
      </w:tr>
      <w:tr>
        <w:trPr>
          <w:trHeight w:val="358" w:hRule="atLeast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</w:tcPr>
          <w:p>
            <w:pPr>
              <w:pStyle w:val="Normal"/>
              <w:spacing w:before="119" w:after="119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Horário: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 xml:space="preserve"> 16h</w:t>
            </w:r>
          </w:p>
        </w:tc>
      </w:tr>
      <w:tr>
        <w:trPr>
          <w:trHeight w:val="436" w:hRule="atLeast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</w:tcPr>
          <w:p>
            <w:pPr>
              <w:pStyle w:val="Normal"/>
              <w:spacing w:before="119" w:after="119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 xml:space="preserve">Local: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 xml:space="preserve"> plataforma virtual Meet</w:t>
            </w:r>
          </w:p>
        </w:tc>
      </w:tr>
      <w:tr>
        <w:trPr/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</w:tcPr>
          <w:p>
            <w:pPr>
              <w:pStyle w:val="ListParagraph"/>
              <w:ind w:left="0" w:hanging="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Pauta: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1. Parceria com o Programa Trabalho Seguro 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2. Exames Periódicos de Saúde   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3. Campanha de Vacinação contra a gripe.</w:t>
            </w:r>
          </w:p>
          <w:p>
            <w:pPr>
              <w:pStyle w:val="ListParagraph"/>
              <w:ind w:left="0" w:hanging="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439" w:type="dxa"/>
        <w:jc w:val="left"/>
        <w:tblInd w:w="-11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6"/>
        <w:gridCol w:w="4962"/>
      </w:tblGrid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jc w:val="center"/>
              <w:rPr>
                <w:color w:val="00000A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</w:rPr>
              <w:t>PARTICIPANTES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jc w:val="center"/>
              <w:rPr>
                <w:color w:val="00000A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</w:rPr>
              <w:t>UNIDADE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Desembargadora Ana Maria Amorim Rebouças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Gab. Des. Ana Maria Amorim Rebouças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Juíza Maria Raquel Ferraz Zagari Valentim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46ª Vara do Trabalho BH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Raquel Polastri Gomes Ferreira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Diretoria de Gestão de Pessoas - DGP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 xml:space="preserve">Geraldo Mendes Diniz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Secretaria de Saúde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Gustavo Henrique Mendes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Saúde Ocupacional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Maria Luzia Fonseca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Assistência Psicológica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Fabiana Vasconcelos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Assistência Odontológica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Lucília Avelar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Assistência Médica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Jeane Correia Câmara Guimarães Brito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Plano de Saúde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Luciana Xavier Passeado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Saúde Ocupacional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Fernanda Freire Fonseca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Seção de Saúde Ocupacional - SES</w:t>
            </w:r>
          </w:p>
        </w:tc>
      </w:tr>
      <w:tr>
        <w:trPr>
          <w:trHeight w:val="384" w:hRule="atLeast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Raquel Aguiar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19" w:after="119"/>
              <w:rPr>
                <w:rFonts w:ascii="Calibri" w:hAnsi="Calibri" w:cs="Calibri" w:asciiTheme="majorHAnsi" w:cstheme="majorHAnsi" w:hAnsiTheme="maj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A"/>
                <w:sz w:val="22"/>
                <w:szCs w:val="22"/>
              </w:rPr>
              <w:t>Gab. de Apoio – SES</w:t>
            </w:r>
          </w:p>
        </w:tc>
      </w:tr>
    </w:tbl>
    <w:p>
      <w:pPr>
        <w:pStyle w:val="Normal"/>
        <w:spacing w:before="120" w:after="120"/>
        <w:jc w:val="both"/>
        <w:rPr/>
      </w:pPr>
      <w:r>
        <w:rPr/>
      </w:r>
    </w:p>
    <w:p>
      <w:pPr>
        <w:pStyle w:val="Normal"/>
        <w:spacing w:before="120" w:after="120"/>
        <w:jc w:val="both"/>
        <w:rPr/>
      </w:pPr>
      <w:r>
        <w:rPr/>
      </w:r>
    </w:p>
    <w:tbl>
      <w:tblPr>
        <w:tblW w:w="949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8"/>
      </w:tblGrid>
      <w:tr>
        <w:trPr>
          <w:trHeight w:val="23" w:hRule="atLeast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  <w:vAlign w:val="center"/>
          </w:tcPr>
          <w:p>
            <w:pPr>
              <w:pStyle w:val="Normal"/>
              <w:spacing w:before="119" w:after="119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DELIBERAÇÕES</w:t>
            </w:r>
          </w:p>
        </w:tc>
      </w:tr>
      <w:tr>
        <w:trPr>
          <w:trHeight w:val="1594" w:hRule="atLeast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Quanto à parceira com o Programa Trabalho Seguro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Maria Raquel informou que a meta para o ano de 2022 do Programa Trabalho Seguro está relacionada com a promoção de ações, estudos e debates para assegurar a saúde mental de magistrados e servidores.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À vista da correlação entre o que determina essa meta e o trabalho do Subcomite de Saúde, ela sugeriu a união de esforços e pediu sugestões da área de saúde a serem levadas à Escola Judicial.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Dra. Ana Maria solicitou estatísticas dos últimos anos sobre os adoecimentos mentais e suas possíveis causas.  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Maria Luzia lembrou que a Secretaria de Saúde monitora os dados das licenças médicas e dos exames periódicos e que a Seção de Psicologia monitora os atendimentos realizados pela equipe da Seção. Com base nesse monitoramento, poderia dizer que houve aumento expressivo da procura pela Seção durante a pandemia, devido a todas as mudanças no trabalho e na vida das pessoas daquele período. Neste momento, as pessoas têm buscado muito a seção de assistência psicológica devido às mudanças que agora precisam ser feitas para o retorno presencial. Os atendimentos virtuais ampliaram a atuação da SAP que pode atender todo o estado como nunca antes.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Maria Raquel pediu indicação de profissional de saúde para falar sobre a saúde dos magistrados durante o Singespa de 2022. Luciana Passeado sugeriu o nome da psicóloga e doutora em Medicina Preventiva Lis Andréa Pereira Soboll, professora da UFPR, que já participou de live no TRT15.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Quanto aos Exames Periódicos de Saúde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Foi sugerida uma forma de reconhecer os esforços das Varas que tiveram maior adesão aos exames periódicos de saúde. 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Fernanda lembrou que historicamente é o segundo grau e os magistrados que menos fazem os exames periódicos, e que a prioridade deveria ser a Capital, uma vez que temos empresa contratada para fazer os exames no Interior do Estado e a procura costuma ser alta. 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Ana Maria sugeriu que a estatística de realização dos exames seja feita por Unidade, a fim de ser enviada carta à cada uma delas com a média da Unidade e a média do TRT. Gustavo acrescentou que o ranking de adesão da unidade em relação às demais, fosse divulgado ao gestor de cada uma, como uma ferramenta de gestão para tomada de ações.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Gustavo solicitará à equipe da SSO responsável pelos exames periódicos que façam o monitoramento por lotação/unidade. Ele considera importante que os magistrados e servidores compreendam a importância de fazer essa consulta periódica com médico do tribunal, pois este conhece o trabalho no tribunal e pode saber se há relação entre as queixas e o trabalho. O mesmo raciocínio de coleta e organização dos dados se aplicará ao exame odontológico regido pela SAO.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Luciana Passeado falou da importância de o Tribunal ou mesmo as instancias superiores lançarem um Selo de saúde, para impulsionar a adesão às ações de Saúde. Mencionou como exemplo Selo Unidades Amigas da Qualidade de Vida no Trabalho, quando as unidades poderiam ser reconhecidas por suas boas práticas de QVT.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Quanto à vacinação contra a gripe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Maria Raquel cogitou a possibilidade de a campanha de vacinação contra a gripe ser estendida aos cônjuges e dependentes, como nos anos anteriores. Foi ponderado que, como nos anos anteriores, os cônjuges e dependentes continuam podendo vacinar; a campanha acontecia nas dependências do tribunal, entretanto, todos pagavam pelas doses, tanto os servidores/magistrados quanto os seus dependentes. Neste ano, os ativos e inativos poderão se vacinar sem custos, ou seja, houve grande benefício aos magistrados e servidores.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Maria Raquel e Ana Maria solicitaram mais divulgação da campanha.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Dr. Geraldo sugeriu a participação de um representante da DOF nas reuniões do subcomitê, uma vez que muitas ações têm custos.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Dra. Ana Maria solicitou ao Plano de Saúde um monitoramento do numero de pessoas que aderiram à campanha de vacinação. </w:t>
            </w:r>
            <w:bookmarkStart w:id="0" w:name="_GoBack"/>
            <w:bookmarkEnd w:id="0"/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Dra. Ana Maria sugeriu pedir à Asttter e Amatra para divulgar a campanha aos aposentados. </w:t>
            </w: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Raquel Polastri informou que o Diretor-Geral já havia determinado o envio de carta a todos os aposentados sobre o tema. 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Jeane sugeriu seja pleiteado às Clinicas credenciadas desconto para dependentes dos magistrados e servidores.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Dra. Ana Maria sugeriu um passo a passo sobre como buscar na intranet a certidão de inscrição no TRTer Saúde, que deve ser apresentada nas clinicas.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Próxima reunião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Dia 24 de junho de 2022.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91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23"/>
        <w:gridCol w:w="2492"/>
        <w:gridCol w:w="2191"/>
      </w:tblGrid>
      <w:tr>
        <w:trPr>
          <w:trHeight w:val="23" w:hRule="atLeast"/>
        </w:trPr>
        <w:tc>
          <w:tcPr>
            <w:tcW w:w="91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76" w:before="119" w:after="119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PLANO DE AÇÃO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 QUE?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QUEM?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STATUS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 xml:space="preserve">Parceria com o Programa Trabalho Seguro: apresentar na próxima reunião sugestões de ações de </w:t>
            </w: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promoção, estudos e debates para assegurar a saúde mental de magistrados e servidores.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Equipe SES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dia 24/6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Apresentar na próxima reunião a estatística de licenças para tratamento de saúde, dos últimos anos.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 xml:space="preserve">Dra. Lucília 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Dia 24/6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indicação de profissional de saúde para falar sobre a saúde dos magistrados durante o Singespa de 2022.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 xml:space="preserve">Luciana indicou a psicóloga </w:t>
            </w: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 doutora em Medicina Preventiva Lis Andréa Pereira Soboll.</w:t>
            </w:r>
          </w:p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Equipe SES – outras indicações?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Até 24/6/22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Estruturar o monitoramento dos exames periódicos de saúde por Unidade.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Gustavo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Até julho 2022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Enviar carta aos gestores com o </w:t>
            </w:r>
            <w:r>
              <w:rPr>
                <w:rFonts w:cs="Calibri" w:ascii="Calibri" w:hAnsi="Calibri"/>
                <w:i/>
                <w:iCs/>
                <w:color w:val="000000" w:themeColor="text1"/>
                <w:sz w:val="22"/>
                <w:szCs w:val="22"/>
              </w:rPr>
              <w:t xml:space="preserve">ranking </w:t>
            </w: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de realização dos exames periódicos.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Gustavo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Fevereiro de 2023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Monitoramento do número de pessoas que aderiram à campanha de vacinação.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Jeane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Até 24/6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Pleitear às Clinicas credenciadas desconto para dependentes dos magistrados e servidores.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Jeane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Maio 2022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Elabora </w:t>
            </w:r>
            <w:r>
              <w:rPr>
                <w:rFonts w:cs="Calibri" w:ascii="Calibri" w:hAnsi="Calibri"/>
                <w:i/>
                <w:color w:val="000000" w:themeColor="text1"/>
                <w:sz w:val="22"/>
                <w:szCs w:val="22"/>
              </w:rPr>
              <w:t>passo a passo</w:t>
            </w: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 xml:space="preserve"> sobre como buscar na intranet a certidão de inscrição no TRTer Saúde.</w:t>
            </w:r>
          </w:p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Jeane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Maio 2022</w:t>
            </w:r>
          </w:p>
        </w:tc>
      </w:tr>
      <w:tr>
        <w:trPr>
          <w:trHeight w:val="384" w:hRule="atLeast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Levantamento da adesão à campanha de vacinação contra a gripe.</w:t>
            </w:r>
          </w:p>
        </w:tc>
        <w:tc>
          <w:tcPr>
            <w:tcW w:w="2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  <w:t>Raquel/Mariza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76" w:before="119" w:after="119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Até 24/6</w:t>
            </w:r>
          </w:p>
        </w:tc>
      </w:tr>
    </w:tbl>
    <w:p>
      <w:pPr>
        <w:pStyle w:val="Normal"/>
        <w:spacing w:before="120" w:after="120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8" w:right="1701" w:header="72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rPr>
        <w:color w:val="000000"/>
      </w:rPr>
    </w:pPr>
    <w:r>
      <w:rPr>
        <w:color w:val="000000"/>
      </w:rPr>
    </w:r>
  </w:p>
  <w:tbl>
    <w:tblPr>
      <w:tblW w:w="9384" w:type="dxa"/>
      <w:jc w:val="left"/>
      <w:tblInd w:w="-185" w:type="dxa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941"/>
      <w:gridCol w:w="7442"/>
    </w:tblGrid>
    <w:tr>
      <w:trPr/>
      <w:tc>
        <w:tcPr>
          <w:tcW w:w="1941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>
          <w:pPr>
            <w:pStyle w:val="Normal"/>
            <w:rPr/>
          </w:pPr>
          <w:r>
            <w:rPr/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-6350</wp:posOffset>
                </wp:positionH>
                <wp:positionV relativeFrom="paragraph">
                  <wp:posOffset>73025</wp:posOffset>
                </wp:positionV>
                <wp:extent cx="1096645" cy="779145"/>
                <wp:effectExtent l="0" t="0" r="0" b="0"/>
                <wp:wrapTopAndBottom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"/>
            <w:rPr>
              <w:rFonts w:ascii="Calibri" w:hAnsi="Calibri" w:eastAsia="Calibri" w:cs="Calibri"/>
              <w:sz w:val="22"/>
              <w:szCs w:val="22"/>
            </w:rPr>
          </w:pPr>
          <w:r>
            <w:rPr>
              <w:rFonts w:eastAsia="Calibri" w:cs="Calibri" w:ascii="Calibri" w:hAnsi="Calibri"/>
              <w:sz w:val="22"/>
              <w:szCs w:val="22"/>
            </w:rPr>
          </w:r>
        </w:p>
        <w:p>
          <w:pPr>
            <w:pStyle w:val="Normal"/>
            <w:rPr>
              <w:rFonts w:ascii="Calibri" w:hAnsi="Calibri" w:eastAsia="Calibri" w:cs="Calibri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sz w:val="22"/>
              <w:szCs w:val="22"/>
            </w:rPr>
            <w:t xml:space="preserve">PODER JUDICIÁRIO </w:t>
          </w:r>
        </w:p>
        <w:p>
          <w:pPr>
            <w:pStyle w:val="Normal"/>
            <w:rPr>
              <w:rFonts w:ascii="Calibri" w:hAnsi="Calibri" w:eastAsia="Calibri" w:cs="Calibri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sz w:val="22"/>
              <w:szCs w:val="22"/>
            </w:rPr>
            <w:t>TRIBUNAL REGIONAL DO TRABALHO DA 3ª REGIÃO</w:t>
          </w:r>
        </w:p>
        <w:p>
          <w:pPr>
            <w:pStyle w:val="Normal"/>
            <w:rPr>
              <w:rFonts w:ascii="Calibri" w:hAnsi="Calibri" w:eastAsia="Calibri" w:cs="Calibri"/>
              <w:sz w:val="22"/>
              <w:szCs w:val="22"/>
            </w:rPr>
          </w:pPr>
          <w:r>
            <w:rPr>
              <w:rFonts w:eastAsia="Calibri" w:cs="Calibri" w:ascii="Calibri" w:hAnsi="Calibri"/>
              <w:sz w:val="22"/>
              <w:szCs w:val="22"/>
            </w:rPr>
          </w:r>
        </w:p>
        <w:p>
          <w:pPr>
            <w:pStyle w:val="Normal"/>
            <w:rPr>
              <w:rFonts w:ascii="Calibri" w:hAnsi="Calibri" w:eastAsia="Calibri" w:cs="Calibri"/>
              <w:sz w:val="22"/>
              <w:szCs w:val="22"/>
            </w:rPr>
          </w:pPr>
          <w:r>
            <w:rPr>
              <w:rFonts w:eastAsia="Calibri" w:cs="Calibri" w:ascii="Calibri" w:hAnsi="Calibri"/>
              <w:sz w:val="22"/>
              <w:szCs w:val="22"/>
            </w:rPr>
            <w:t>SUBCOMITÊ DE ATENÇÃO INTEGRAL À SAÚDE</w:t>
          </w:r>
        </w:p>
      </w:tc>
    </w:tr>
    <w:tr>
      <w:trPr/>
      <w:tc>
        <w:tcPr>
          <w:tcW w:w="9383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"/>
            <w:widowControl w:val="false"/>
            <w:tabs>
              <w:tab w:val="clear" w:pos="720"/>
              <w:tab w:val="center" w:pos="4394" w:leader="none"/>
              <w:tab w:val="left" w:pos="7875" w:leader="none"/>
            </w:tabs>
            <w:rPr/>
          </w:pPr>
          <w:r>
            <w:rPr>
              <w:rFonts w:eastAsia="Calibri" w:cs="Calibri" w:ascii="Calibri" w:hAnsi="Calibri"/>
              <w:b/>
              <w:sz w:val="22"/>
              <w:szCs w:val="22"/>
            </w:rPr>
            <w:tab/>
            <w:t>ATA DE REUNIÃO</w:t>
            <w:tab/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7c4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uppressAutoHyphens w:val="true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uppressAutoHyphens w:val="true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uppressAutoHyphens w:val="true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uppressAutoHyphens w:val="true"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uppressAutoHyphens w:val="true"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a7307"/>
    <w:rPr>
      <w:sz w:val="18"/>
      <w:szCs w:val="18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52d20"/>
    <w:rPr/>
  </w:style>
  <w:style w:type="character" w:styleId="LinkdaInternet">
    <w:name w:val="Link da Internet"/>
    <w:basedOn w:val="DefaultParagraphFont"/>
    <w:uiPriority w:val="99"/>
    <w:semiHidden/>
    <w:unhideWhenUsed/>
    <w:rsid w:val="003f5f07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2a7c42"/>
    <w:rPr/>
  </w:style>
  <w:style w:type="character" w:styleId="Nfase">
    <w:name w:val="Ênfase"/>
    <w:basedOn w:val="DefaultParagraphFont"/>
    <w:uiPriority w:val="20"/>
    <w:qFormat/>
    <w:rsid w:val="00585022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uppressAutoHyphens w:val="true"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a7307"/>
    <w:pPr>
      <w:suppressAutoHyphens w:val="true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71230"/>
    <w:pPr>
      <w:suppressAutoHyphens w:val="true"/>
      <w:spacing w:before="0" w:after="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a52d20"/>
    <w:pPr>
      <w:tabs>
        <w:tab w:val="clear" w:pos="720"/>
        <w:tab w:val="center" w:pos="4252" w:leader="none"/>
        <w:tab w:val="right" w:pos="8504" w:leader="none"/>
      </w:tabs>
      <w:suppressAutoHyphens w:val="true"/>
    </w:pPr>
    <w:rPr/>
  </w:style>
  <w:style w:type="paragraph" w:styleId="Contedodatabela" w:customStyle="1">
    <w:name w:val="Conteúdo da tabela"/>
    <w:basedOn w:val="Standard"/>
    <w:qFormat/>
    <w:rsid w:val="004e0a08"/>
    <w:pPr>
      <w:suppressLineNumbers/>
    </w:pPr>
    <w:rPr/>
  </w:style>
  <w:style w:type="paragraph" w:styleId="Standard" w:customStyle="1">
    <w:name w:val="Standard"/>
    <w:qFormat/>
    <w:rsid w:val="004e0a08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4e0a08"/>
    <w:pPr>
      <w:spacing w:lineRule="auto" w:line="276" w:before="0" w:after="140"/>
    </w:pPr>
    <w:rPr/>
  </w:style>
  <w:style w:type="paragraph" w:styleId="NormalWeb">
    <w:name w:val="Normal (Web)"/>
    <w:basedOn w:val="Normal"/>
    <w:uiPriority w:val="99"/>
    <w:unhideWhenUsed/>
    <w:qFormat/>
    <w:rsid w:val="007332f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LibreOffice/6.4.3.2$Windows_X86_64 LibreOffice_project/747b5d0ebf89f41c860ec2a39efd7cb15b54f2d8</Application>
  <Pages>3</Pages>
  <Words>1069</Words>
  <Characters>5568</Characters>
  <CharactersWithSpaces>6559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2022-05-19T20:52:00Z</dcterms:created>
  <dc:creator>Microsoft Office User</dc:creator>
  <dc:description/>
  <dc:language>pt-BR</dc:language>
  <cp:lastModifiedBy>Raquel Aguiar Ferreira</cp:lastModifiedBy>
  <dcterms:modified xsi:type="dcterms:W3CDTF">2022-05-27T19:49:00Z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